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line="240" w:lineRule="auto"/>
        <w:jc w:val="center"/>
      </w:pPr>
      <w:r>
        <w:t>USAFE Communications Services Contract Overview</w:t>
      </w:r>
    </w:p>
    <w:p>
      <w:pPr>
        <w:spacing w:line="240" w:lineRule="auto"/>
        <w:jc w:val="center"/>
      </w:pPr>
    </w:p>
    <w:p>
      <w:pPr>
        <w:spacing w:line="240" w:lineRule="auto"/>
        <w:rPr>
          <w:color w:val="000000"/>
        </w:rPr>
      </w:pPr>
      <w:r>
        <w:t>TYPE OF CONTRACT:</w:t>
      </w:r>
      <w:r>
        <w:t xml:space="preserve"> </w:t>
      </w:r>
      <w:bookmarkStart w:id="0" w:name="Text1"/>
      <w:r>
        <w:t>Firm Fixed Price (FFP) with cost reimbursable</w:t>
      </w:r>
      <w:bookmarkEnd w:id="0"/>
    </w:p>
    <w:p>
      <w:pPr>
        <w:spacing w:line="240" w:lineRule="auto"/>
        <w:rPr>
          <w:szCs w:val="20"/>
        </w:rPr>
      </w:pPr>
      <w:r>
        <w:t>PRE-BID/PRE-PROPOSAL CONFERENCE</w:t>
      </w:r>
      <w:r>
        <w:t xml:space="preserve">:  28 Oct 2009 at </w:t>
      </w:r>
      <w:r>
        <w:rPr>
          <w:szCs w:val="20"/>
        </w:rPr>
        <w:t xml:space="preserve">700 </w:t>
      </w:r>
      <w:r>
        <w:rPr>
          <w:szCs w:val="20"/>
        </w:rPr>
        <w:t>Contracting Squadron, Rhine Ordnance Barracks (ROB), Bldg 164, Basement Conference Rooms, Kaiserslautern, Germany</w:t>
      </w:r>
      <w:r>
        <w:rPr>
          <w:szCs w:val="20"/>
        </w:rPr>
        <w:t xml:space="preserve"> --- three attendees per vendor </w:t>
      </w:r>
    </w:p>
    <w:p>
      <w:pPr>
        <w:spacing w:line="240" w:lineRule="auto"/>
      </w:pPr>
      <w:r>
        <w:t>Proposal Due Date:  30 November 2009</w:t>
      </w:r>
    </w:p>
    <w:p>
      <w:pPr>
        <w:pStyle w:val="NoSpacing"/>
      </w:pPr>
      <w:r>
        <w:rPr>
          <w:b/>
        </w:rPr>
        <w:t>Evaluation factors and standards</w:t>
      </w:r>
      <w:r>
        <w:t xml:space="preserve">:  </w:t>
      </w:r>
    </w:p>
    <w:p>
      <w:pPr>
        <w:pStyle w:val="NoSpacing"/>
        <w:numPr>
          <w:ilvl w:val="0"/>
          <w:numId w:val="1"/>
        </w:numPr>
      </w:pPr>
      <w:r>
        <w:t xml:space="preserve">Each proposal will first be evaluated for technical acceptability.  </w:t>
      </w:r>
    </w:p>
    <w:p>
      <w:pPr>
        <w:pStyle w:val="NoSpacing"/>
        <w:numPr>
          <w:ilvl w:val="0"/>
          <w:numId w:val="1"/>
        </w:numPr>
      </w:pPr>
      <w:r>
        <w:t xml:space="preserve">Price reasonableness of all technically “acceptable” or “reasonably susceptible of being made acceptable” will follow </w:t>
      </w:r>
    </w:p>
    <w:p>
      <w:pPr>
        <w:pStyle w:val="NoSpacing"/>
        <w:numPr>
          <w:ilvl w:val="0"/>
          <w:numId w:val="1"/>
        </w:numPr>
      </w:pPr>
      <w:r>
        <w:t xml:space="preserve">Proposals will be ranked by the total evaluated price.  </w:t>
      </w:r>
    </w:p>
    <w:p>
      <w:pPr>
        <w:pStyle w:val="NoSpacing"/>
        <w:numPr>
          <w:ilvl w:val="0"/>
          <w:numId w:val="1"/>
        </w:numPr>
      </w:pPr>
      <w:r>
        <w:t xml:space="preserve">The lowest priced </w:t>
      </w:r>
      <w:proofErr w:type="spellStart"/>
      <w:r>
        <w:t>offeror’s</w:t>
      </w:r>
      <w:proofErr w:type="spellEnd"/>
      <w:r>
        <w:t xml:space="preserve"> past performance will be evaluated next.  If past performance is “Substantial Confidence” for a technical acceptable proposal with the lowest ranking evaluated fair and reasonable price, the evaluation is complete.  </w:t>
      </w:r>
    </w:p>
    <w:p>
      <w:pPr>
        <w:pStyle w:val="NoSpacing"/>
      </w:pPr>
    </w:p>
    <w:p>
      <w:pPr>
        <w:pStyle w:val="NoSpacing"/>
      </w:pPr>
      <w:r>
        <w:t>Proposal Organization</w:t>
      </w:r>
    </w:p>
    <w:p>
      <w:pPr>
        <w:pStyle w:val="NoSpacing"/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50"/>
        <w:gridCol w:w="1800"/>
        <w:gridCol w:w="2430"/>
        <w:gridCol w:w="1350"/>
        <w:gridCol w:w="2610"/>
      </w:tblGrid>
      <w:tr>
        <w:tc>
          <w:tcPr>
            <w:tcW w:w="1350" w:type="dxa"/>
            <w:hideMark/>
          </w:tcPr>
          <w:p>
            <w:pPr>
              <w:pStyle w:val="NoSpacing"/>
              <w:rPr>
                <w:b/>
              </w:rPr>
            </w:pPr>
            <w:r>
              <w:rPr>
                <w:b/>
              </w:rPr>
              <w:t>VOLUME</w:t>
            </w:r>
          </w:p>
        </w:tc>
        <w:tc>
          <w:tcPr>
            <w:tcW w:w="1800" w:type="dxa"/>
            <w:hideMark/>
          </w:tcPr>
          <w:p>
            <w:pPr>
              <w:pStyle w:val="NoSpacing"/>
              <w:rPr>
                <w:b/>
              </w:rPr>
            </w:pPr>
            <w:r>
              <w:rPr>
                <w:b/>
              </w:rPr>
              <w:t>PARAGRAPH NUMBER</w:t>
            </w:r>
          </w:p>
        </w:tc>
        <w:tc>
          <w:tcPr>
            <w:tcW w:w="2430" w:type="dxa"/>
            <w:hideMark/>
          </w:tcPr>
          <w:p>
            <w:pPr>
              <w:pStyle w:val="NoSpacing"/>
              <w:rPr>
                <w:rFonts w:eastAsia="@Arial Unicode MS"/>
                <w:b/>
                <w:bCs/>
              </w:rPr>
            </w:pPr>
            <w:r>
              <w:rPr>
                <w:b/>
                <w:bCs/>
              </w:rPr>
              <w:t>TITLE</w:t>
            </w:r>
          </w:p>
        </w:tc>
        <w:tc>
          <w:tcPr>
            <w:tcW w:w="1350" w:type="dxa"/>
            <w:hideMark/>
          </w:tcPr>
          <w:p>
            <w:pPr>
              <w:pStyle w:val="NoSpacing"/>
              <w:rPr>
                <w:b/>
                <w:bCs/>
                <w:szCs w:val="20"/>
              </w:rPr>
            </w:pPr>
            <w:r>
              <w:rPr>
                <w:b/>
                <w:bCs/>
              </w:rPr>
              <w:t># OF</w:t>
            </w:r>
          </w:p>
          <w:p>
            <w:pPr>
              <w:pStyle w:val="NoSpacing"/>
              <w:rPr>
                <w:rFonts w:eastAsia="@Arial Unicode MS"/>
                <w:b/>
                <w:bCs/>
              </w:rPr>
            </w:pPr>
            <w:r>
              <w:rPr>
                <w:b/>
                <w:bCs/>
              </w:rPr>
              <w:t xml:space="preserve">COPIES </w:t>
            </w:r>
          </w:p>
        </w:tc>
        <w:tc>
          <w:tcPr>
            <w:tcW w:w="2610" w:type="dxa"/>
            <w:hideMark/>
          </w:tcPr>
          <w:p>
            <w:pPr>
              <w:pStyle w:val="NoSpacing"/>
              <w:rPr>
                <w:rFonts w:eastAsia="@Arial Unicode MS"/>
                <w:b/>
                <w:bCs/>
              </w:rPr>
            </w:pPr>
            <w:r>
              <w:rPr>
                <w:b/>
                <w:bCs/>
              </w:rPr>
              <w:t>MAXIMUM # PAGES</w:t>
            </w:r>
          </w:p>
        </w:tc>
      </w:tr>
      <w:tr>
        <w:trPr>
          <w:trHeight w:val="314"/>
        </w:trPr>
        <w:tc>
          <w:tcPr>
            <w:tcW w:w="1350" w:type="dxa"/>
            <w:hideMark/>
          </w:tcPr>
          <w:p>
            <w:pPr>
              <w:pStyle w:val="NoSpacing"/>
              <w:rPr>
                <w:rFonts w:eastAsia="@Arial Unicode MS"/>
              </w:rPr>
            </w:pPr>
            <w:r>
              <w:t>I</w:t>
            </w:r>
          </w:p>
        </w:tc>
        <w:tc>
          <w:tcPr>
            <w:tcW w:w="1800" w:type="dxa"/>
            <w:hideMark/>
          </w:tcPr>
          <w:p>
            <w:pPr>
              <w:pStyle w:val="NoSpacing"/>
              <w:rPr>
                <w:rFonts w:eastAsia="@Arial Unicode MS"/>
              </w:rPr>
            </w:pPr>
            <w:r>
              <w:rPr>
                <w:rFonts w:eastAsia="@Arial Unicode MS"/>
              </w:rPr>
              <w:t>L-3</w:t>
            </w:r>
          </w:p>
        </w:tc>
        <w:tc>
          <w:tcPr>
            <w:tcW w:w="2430" w:type="dxa"/>
            <w:hideMark/>
          </w:tcPr>
          <w:p>
            <w:pPr>
              <w:pStyle w:val="NoSpacing"/>
              <w:rPr>
                <w:rFonts w:eastAsia="@Arial Unicode MS"/>
              </w:rPr>
            </w:pPr>
            <w:r>
              <w:rPr>
                <w:rFonts w:eastAsia="@Arial Unicode MS"/>
              </w:rPr>
              <w:t>Technical Proposal</w:t>
            </w:r>
          </w:p>
        </w:tc>
        <w:tc>
          <w:tcPr>
            <w:tcW w:w="1350" w:type="dxa"/>
            <w:hideMark/>
          </w:tcPr>
          <w:p>
            <w:pPr>
              <w:pStyle w:val="NoSpacing"/>
              <w:rPr>
                <w:rFonts w:eastAsia="@Arial Unicode MS"/>
              </w:rPr>
            </w:pPr>
            <w:r>
              <w:rPr>
                <w:rFonts w:eastAsia="@Arial Unicode MS"/>
              </w:rPr>
              <w:t>6</w:t>
            </w:r>
          </w:p>
        </w:tc>
        <w:tc>
          <w:tcPr>
            <w:tcW w:w="2610" w:type="dxa"/>
            <w:hideMark/>
          </w:tcPr>
          <w:p>
            <w:pPr>
              <w:pStyle w:val="NoSpacing"/>
              <w:rPr>
                <w:rFonts w:eastAsia="@Arial Unicode MS"/>
              </w:rPr>
            </w:pPr>
            <w:r>
              <w:rPr>
                <w:rFonts w:eastAsia="@Arial Unicode MS"/>
              </w:rPr>
              <w:t>150</w:t>
            </w:r>
          </w:p>
        </w:tc>
      </w:tr>
      <w:tr>
        <w:tc>
          <w:tcPr>
            <w:tcW w:w="1350" w:type="dxa"/>
            <w:hideMark/>
          </w:tcPr>
          <w:p>
            <w:pPr>
              <w:pStyle w:val="NoSpacing"/>
              <w:rPr>
                <w:rFonts w:eastAsia="@Arial Unicode MS"/>
              </w:rPr>
            </w:pPr>
            <w:r>
              <w:t>II</w:t>
            </w:r>
          </w:p>
        </w:tc>
        <w:tc>
          <w:tcPr>
            <w:tcW w:w="1800" w:type="dxa"/>
            <w:hideMark/>
          </w:tcPr>
          <w:p>
            <w:pPr>
              <w:pStyle w:val="NoSpacing"/>
              <w:rPr>
                <w:rFonts w:eastAsia="@Arial Unicode MS"/>
              </w:rPr>
            </w:pPr>
            <w:r>
              <w:rPr>
                <w:rFonts w:eastAsia="@Arial Unicode MS"/>
              </w:rPr>
              <w:t>L-4</w:t>
            </w:r>
          </w:p>
        </w:tc>
        <w:tc>
          <w:tcPr>
            <w:tcW w:w="2430" w:type="dxa"/>
            <w:hideMark/>
          </w:tcPr>
          <w:p>
            <w:pPr>
              <w:pStyle w:val="NoSpacing"/>
              <w:rPr>
                <w:rFonts w:eastAsia="@Arial Unicode MS"/>
              </w:rPr>
            </w:pPr>
            <w:r>
              <w:rPr>
                <w:rFonts w:eastAsia="@Arial Unicode MS"/>
              </w:rPr>
              <w:t>Price/Contract Documentation</w:t>
            </w:r>
          </w:p>
        </w:tc>
        <w:tc>
          <w:tcPr>
            <w:tcW w:w="1350" w:type="dxa"/>
            <w:hideMark/>
          </w:tcPr>
          <w:p>
            <w:pPr>
              <w:pStyle w:val="NoSpacing"/>
              <w:rPr>
                <w:rFonts w:eastAsia="@Arial Unicode MS"/>
              </w:rPr>
            </w:pPr>
            <w:r>
              <w:rPr>
                <w:rFonts w:eastAsia="@Arial Unicode MS"/>
              </w:rPr>
              <w:t>4</w:t>
            </w:r>
          </w:p>
        </w:tc>
        <w:tc>
          <w:tcPr>
            <w:tcW w:w="2610" w:type="dxa"/>
            <w:hideMark/>
          </w:tcPr>
          <w:p>
            <w:pPr>
              <w:pStyle w:val="NoSpacing"/>
              <w:rPr>
                <w:rFonts w:eastAsia="@Arial Unicode MS"/>
              </w:rPr>
            </w:pPr>
            <w:r>
              <w:rPr>
                <w:rFonts w:eastAsia="@Arial Unicode MS"/>
              </w:rPr>
              <w:t>No Limit</w:t>
            </w:r>
          </w:p>
        </w:tc>
      </w:tr>
      <w:tr>
        <w:trPr>
          <w:trHeight w:val="332"/>
        </w:trPr>
        <w:tc>
          <w:tcPr>
            <w:tcW w:w="1350" w:type="dxa"/>
            <w:hideMark/>
          </w:tcPr>
          <w:p>
            <w:pPr>
              <w:pStyle w:val="NoSpacing"/>
              <w:rPr>
                <w:rFonts w:eastAsia="@Arial Unicode MS"/>
              </w:rPr>
            </w:pPr>
            <w:r>
              <w:t>III</w:t>
            </w:r>
          </w:p>
        </w:tc>
        <w:tc>
          <w:tcPr>
            <w:tcW w:w="1800" w:type="dxa"/>
            <w:hideMark/>
          </w:tcPr>
          <w:p>
            <w:pPr>
              <w:pStyle w:val="NoSpacing"/>
              <w:rPr>
                <w:rFonts w:eastAsia="@Arial Unicode MS"/>
              </w:rPr>
            </w:pPr>
            <w:r>
              <w:rPr>
                <w:rFonts w:eastAsia="@Arial Unicode MS"/>
              </w:rPr>
              <w:t>L-5</w:t>
            </w:r>
          </w:p>
        </w:tc>
        <w:tc>
          <w:tcPr>
            <w:tcW w:w="2430" w:type="dxa"/>
            <w:hideMark/>
          </w:tcPr>
          <w:p>
            <w:pPr>
              <w:pStyle w:val="NoSpacing"/>
              <w:rPr>
                <w:rFonts w:eastAsia="@Arial Unicode MS"/>
              </w:rPr>
            </w:pPr>
            <w:r>
              <w:rPr>
                <w:rFonts w:eastAsia="@Arial Unicode MS"/>
              </w:rPr>
              <w:t>Past Performance</w:t>
            </w:r>
          </w:p>
        </w:tc>
        <w:tc>
          <w:tcPr>
            <w:tcW w:w="1350" w:type="dxa"/>
            <w:hideMark/>
          </w:tcPr>
          <w:p>
            <w:pPr>
              <w:pStyle w:val="NoSpacing"/>
              <w:rPr>
                <w:rFonts w:eastAsia="@Arial Unicode MS"/>
              </w:rPr>
            </w:pPr>
            <w:r>
              <w:rPr>
                <w:rFonts w:eastAsia="@Arial Unicode MS"/>
              </w:rPr>
              <w:t>5</w:t>
            </w:r>
          </w:p>
        </w:tc>
        <w:tc>
          <w:tcPr>
            <w:tcW w:w="2610" w:type="dxa"/>
          </w:tcPr>
          <w:p>
            <w:pPr>
              <w:pStyle w:val="NoSpacing"/>
              <w:rPr>
                <w:rFonts w:eastAsia="@Arial Unicode MS"/>
              </w:rPr>
            </w:pPr>
            <w:r>
              <w:rPr>
                <w:rFonts w:eastAsia="@Arial Unicode MS"/>
              </w:rPr>
              <w:t>30</w:t>
            </w:r>
          </w:p>
        </w:tc>
      </w:tr>
    </w:tbl>
    <w:p>
      <w:pPr>
        <w:pStyle w:val="NoSpacing"/>
      </w:pPr>
    </w:p>
    <w:p>
      <w:pPr>
        <w:spacing w:line="240" w:lineRule="auto"/>
        <w:rPr>
          <w:b/>
        </w:rPr>
      </w:pPr>
      <w:r>
        <w:rPr>
          <w:b/>
        </w:rPr>
        <w:t>VOLUME I – TECHNICAL PROPOSAL (FACTOR 1)</w:t>
      </w:r>
    </w:p>
    <w:p>
      <w:pPr>
        <w:pStyle w:val="ListParagraph"/>
        <w:numPr>
          <w:ilvl w:val="0"/>
          <w:numId w:val="2"/>
        </w:numPr>
        <w:spacing w:line="240" w:lineRule="auto"/>
      </w:pPr>
      <w:r>
        <w:rPr>
          <w:b/>
        </w:rPr>
        <w:t>SUBFACTOR</w:t>
      </w:r>
      <w:r>
        <w:rPr>
          <w:b/>
        </w:rPr>
        <w:t xml:space="preserve"> 1 – Phase-in.</w:t>
      </w:r>
      <w:r>
        <w:t xml:space="preserve">  The </w:t>
      </w:r>
      <w:proofErr w:type="spellStart"/>
      <w:r>
        <w:t>offeror</w:t>
      </w:r>
      <w:proofErr w:type="spellEnd"/>
      <w:r>
        <w:t xml:space="preserve"> shall address the process for a 60-day phase-in period that assumes full responsibility for performance at the start of the basic contract period.  </w:t>
      </w:r>
    </w:p>
    <w:p>
      <w:pPr>
        <w:pStyle w:val="ListParagraph"/>
        <w:numPr>
          <w:ilvl w:val="0"/>
          <w:numId w:val="2"/>
        </w:numPr>
        <w:spacing w:line="240" w:lineRule="auto"/>
      </w:pPr>
      <w:r>
        <w:rPr>
          <w:b/>
        </w:rPr>
        <w:t>SUBFACTOR 2 – Technical Proposal</w:t>
      </w:r>
      <w:r>
        <w:t xml:space="preserve">.  </w:t>
      </w:r>
      <w:proofErr w:type="spellStart"/>
      <w:r>
        <w:t>Offerors</w:t>
      </w:r>
      <w:proofErr w:type="spellEnd"/>
      <w:r>
        <w:t xml:space="preserve"> are required to submit a Quality Control Plan (QCP) conforming to the quality management principles of ISO 9001-2000 in terms of customer focus, leadership, involvement of people, process approach, system approach to management, and continual improvement.  </w:t>
      </w:r>
    </w:p>
    <w:p>
      <w:pPr>
        <w:pStyle w:val="NoSpacing"/>
        <w:rPr>
          <w:b/>
        </w:rPr>
      </w:pPr>
      <w:r>
        <w:rPr>
          <w:b/>
        </w:rPr>
        <w:t xml:space="preserve">VOLUME II – PRICE/CONTRACT DOCUMENTATION PROPOSAL (FACTOR 2) </w:t>
      </w:r>
    </w:p>
    <w:p>
      <w:pPr>
        <w:pStyle w:val="ListParagraph"/>
        <w:numPr>
          <w:ilvl w:val="0"/>
          <w:numId w:val="3"/>
        </w:numPr>
        <w:spacing w:line="240" w:lineRule="auto"/>
      </w:pPr>
      <w:r>
        <w:rPr>
          <w:b/>
        </w:rPr>
        <w:t xml:space="preserve">SINGLE CURRENCY: </w:t>
      </w:r>
      <w:r>
        <w:t xml:space="preserve"> All proposed prices shall be submitted in US dollar currency</w:t>
      </w:r>
    </w:p>
    <w:p>
      <w:pPr>
        <w:pStyle w:val="ListParagraph"/>
        <w:numPr>
          <w:ilvl w:val="0"/>
          <w:numId w:val="3"/>
        </w:numPr>
        <w:spacing w:line="240" w:lineRule="auto"/>
      </w:pPr>
      <w:r>
        <w:rPr>
          <w:b/>
        </w:rPr>
        <w:t>SEVERANCE:</w:t>
      </w:r>
      <w:r>
        <w:t xml:space="preserve"> The </w:t>
      </w:r>
      <w:proofErr w:type="spellStart"/>
      <w:r>
        <w:t>offeror’s</w:t>
      </w:r>
      <w:proofErr w:type="spellEnd"/>
      <w:r>
        <w:t xml:space="preserve"> proposal shall include a description of the </w:t>
      </w:r>
      <w:proofErr w:type="spellStart"/>
      <w:r>
        <w:t>offeror’s</w:t>
      </w:r>
      <w:proofErr w:type="spellEnd"/>
      <w:r>
        <w:t xml:space="preserve"> severance pay approach</w:t>
      </w:r>
    </w:p>
    <w:p>
      <w:pPr>
        <w:pStyle w:val="NoSpacing"/>
      </w:pPr>
      <w:r>
        <w:rPr>
          <w:b/>
        </w:rPr>
        <w:t xml:space="preserve">VOLUME III – PAST PERFORMANCE INFORMATION (FACTOR 3) </w:t>
      </w:r>
      <w:r>
        <w:rPr>
          <w:bCs/>
        </w:rPr>
        <w:t xml:space="preserve">The Past Performance information shall be submitted along with volumes I and II; </w:t>
      </w:r>
      <w:r>
        <w:rPr>
          <w:bCs/>
        </w:rPr>
        <w:t>early submission is not required</w:t>
      </w:r>
    </w:p>
    <w:p>
      <w:pPr>
        <w:pStyle w:val="ListParagraph"/>
        <w:numPr>
          <w:ilvl w:val="0"/>
          <w:numId w:val="4"/>
        </w:numPr>
        <w:spacing w:line="240" w:lineRule="auto"/>
      </w:pPr>
      <w:r>
        <w:t xml:space="preserve">The contractor shall provide past performance information on no more than eight (8) contracts performed for federal agencies and commercial customers within the last three (3) years </w:t>
      </w:r>
      <w:r>
        <w:t xml:space="preserve"> </w:t>
      </w:r>
    </w:p>
    <w:p>
      <w:pPr>
        <w:pStyle w:val="ListParagraph"/>
        <w:numPr>
          <w:ilvl w:val="0"/>
          <w:numId w:val="4"/>
        </w:numPr>
        <w:spacing w:line="240" w:lineRule="auto"/>
      </w:pPr>
      <w:r>
        <w:t>The contractor shall provide past performance information on any subcontractor, who is anticipated to perform twenty five (25) percent or greater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6686"/>
    <w:multiLevelType w:val="hybridMultilevel"/>
    <w:tmpl w:val="CBBC8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B7158"/>
    <w:multiLevelType w:val="hybridMultilevel"/>
    <w:tmpl w:val="0F466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F188B"/>
    <w:multiLevelType w:val="hybridMultilevel"/>
    <w:tmpl w:val="6FACB6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AD17FA4"/>
    <w:multiLevelType w:val="hybridMultilevel"/>
    <w:tmpl w:val="4F18B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86"/>
  <w:proofState w:spelling="clean" w:grammar="clean"/>
  <w:defaultTabStop w:val="720"/>
  <w:characterSpacingControl w:val="doNotCompress"/>
  <w:compat/>
  <w:rsids>
    <w:rsidRoot w:val="00DF1519"/>
    <w:rsid w:val="0030136C"/>
    <w:rsid w:val="00486538"/>
    <w:rsid w:val="00541BA2"/>
    <w:rsid w:val="00DF1519"/>
    <w:rsid w:val="00E2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B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1519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ListParagraph">
    <w:name w:val="List Paragraph"/>
    <w:basedOn w:val="Normal"/>
    <w:uiPriority w:val="34"/>
    <w:qFormat/>
    <w:rsid w:val="00DF15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349</Words>
  <Characters>1991</Characters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2336</CharactersWithSpaces>
  <SharedDoc>false</SharedDoc>
  <HyperlinksChanged>false</HyperlinksChanged>
</Properties>
</file>